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5C" w:rsidRPr="00747E5C" w:rsidRDefault="00747E5C" w:rsidP="00747E5C">
      <w:pPr>
        <w:spacing w:before="100" w:beforeAutospacing="1" w:after="100" w:afterAutospacing="1" w:line="240" w:lineRule="auto"/>
        <w:outlineLvl w:val="0"/>
        <w:rPr>
          <w:rFonts w:ascii="Times New Roman" w:eastAsia="Times New Roman" w:hAnsi="Times New Roman" w:cs="Times New Roman"/>
          <w:b/>
          <w:bCs/>
          <w:kern w:val="36"/>
          <w:sz w:val="48"/>
          <w:szCs w:val="48"/>
          <w:lang w:val="de-AT" w:eastAsia="de-AT"/>
        </w:rPr>
      </w:pPr>
      <w:r w:rsidRPr="00747E5C">
        <w:rPr>
          <w:rFonts w:ascii="Times New Roman" w:eastAsia="Times New Roman" w:hAnsi="Times New Roman" w:cs="Times New Roman"/>
          <w:b/>
          <w:bCs/>
          <w:kern w:val="36"/>
          <w:sz w:val="48"/>
          <w:szCs w:val="48"/>
          <w:lang w:val="de-AT" w:eastAsia="de-AT"/>
        </w:rPr>
        <w:t>Mineralstoffe</w:t>
      </w:r>
    </w:p>
    <w:p w:rsidR="00747E5C" w:rsidRPr="00747E5C" w:rsidRDefault="00747E5C" w:rsidP="00747E5C">
      <w:pPr>
        <w:spacing w:before="100" w:beforeAutospacing="1" w:after="100" w:afterAutospacing="1"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 xml:space="preserve">Mineralstoffe sind lebensnotwendige (essenzielle) Substanzen, die die Entwicklung, die Fortpflanzung und das Wachstum des Menschen gewährleisten. Der Körper kann Mineralstoffe nicht selbst produzieren, sodass sie mit der Nahrung aufgenommen werden müssen. Man unterteilt Mineralstoffe je nach ihrer Konzentration im Körper in Mengen- und Spurenelemente. Mengenelemente kommen in größeren Mengen im Körper vor, Spurenelemente in geringen Mengen. </w:t>
      </w:r>
    </w:p>
    <w:p w:rsidR="00747E5C" w:rsidRPr="00747E5C" w:rsidRDefault="00747E5C" w:rsidP="00747E5C">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747E5C">
        <w:rPr>
          <w:rFonts w:ascii="Times New Roman" w:eastAsia="Times New Roman" w:hAnsi="Times New Roman" w:cs="Times New Roman"/>
          <w:b/>
          <w:bCs/>
          <w:sz w:val="36"/>
          <w:szCs w:val="36"/>
          <w:lang w:val="de-AT" w:eastAsia="de-AT"/>
        </w:rPr>
        <w:t>Mengenelemente und ihre Funktionen</w:t>
      </w:r>
    </w:p>
    <w:tbl>
      <w:tblPr>
        <w:tblW w:w="3500" w:type="pct"/>
        <w:tblCellSpacing w:w="15" w:type="dxa"/>
        <w:tblCellMar>
          <w:top w:w="15" w:type="dxa"/>
          <w:left w:w="15" w:type="dxa"/>
          <w:bottom w:w="15" w:type="dxa"/>
          <w:right w:w="15" w:type="dxa"/>
        </w:tblCellMar>
        <w:tblLook w:val="04A0"/>
      </w:tblPr>
      <w:tblGrid>
        <w:gridCol w:w="1705"/>
        <w:gridCol w:w="2983"/>
        <w:gridCol w:w="1725"/>
      </w:tblGrid>
      <w:tr w:rsidR="00747E5C" w:rsidRPr="00747E5C" w:rsidTr="00747E5C">
        <w:trPr>
          <w:tblCellSpacing w:w="15" w:type="dxa"/>
        </w:trPr>
        <w:tc>
          <w:tcPr>
            <w:tcW w:w="0" w:type="auto"/>
            <w:vAlign w:val="center"/>
            <w:hideMark/>
          </w:tcPr>
          <w:p w:rsidR="00747E5C" w:rsidRPr="00747E5C" w:rsidRDefault="00747E5C" w:rsidP="00747E5C">
            <w:pPr>
              <w:spacing w:after="0" w:line="240" w:lineRule="auto"/>
              <w:jc w:val="center"/>
              <w:rPr>
                <w:rFonts w:ascii="Times New Roman" w:eastAsia="Times New Roman" w:hAnsi="Times New Roman" w:cs="Times New Roman"/>
                <w:b/>
                <w:bCs/>
                <w:sz w:val="24"/>
                <w:szCs w:val="24"/>
                <w:lang w:val="de-AT" w:eastAsia="de-AT"/>
              </w:rPr>
            </w:pPr>
            <w:r w:rsidRPr="00747E5C">
              <w:rPr>
                <w:rFonts w:ascii="Times New Roman" w:eastAsia="Times New Roman" w:hAnsi="Times New Roman" w:cs="Times New Roman"/>
                <w:b/>
                <w:bCs/>
                <w:sz w:val="24"/>
                <w:szCs w:val="24"/>
                <w:lang w:val="de-AT" w:eastAsia="de-AT"/>
              </w:rPr>
              <w:t>Mengenelement</w:t>
            </w:r>
          </w:p>
        </w:tc>
        <w:tc>
          <w:tcPr>
            <w:tcW w:w="0" w:type="auto"/>
            <w:vAlign w:val="center"/>
            <w:hideMark/>
          </w:tcPr>
          <w:p w:rsidR="00747E5C" w:rsidRPr="00747E5C" w:rsidRDefault="00747E5C" w:rsidP="00747E5C">
            <w:pPr>
              <w:spacing w:after="0" w:line="240" w:lineRule="auto"/>
              <w:jc w:val="center"/>
              <w:rPr>
                <w:rFonts w:ascii="Times New Roman" w:eastAsia="Times New Roman" w:hAnsi="Times New Roman" w:cs="Times New Roman"/>
                <w:b/>
                <w:bCs/>
                <w:sz w:val="24"/>
                <w:szCs w:val="24"/>
                <w:lang w:val="de-AT" w:eastAsia="de-AT"/>
              </w:rPr>
            </w:pPr>
            <w:r w:rsidRPr="00747E5C">
              <w:rPr>
                <w:rFonts w:ascii="Times New Roman" w:eastAsia="Times New Roman" w:hAnsi="Times New Roman" w:cs="Times New Roman"/>
                <w:b/>
                <w:bCs/>
                <w:sz w:val="24"/>
                <w:szCs w:val="24"/>
                <w:lang w:val="de-AT" w:eastAsia="de-AT"/>
              </w:rPr>
              <w:t>Zum Beispiel wichtig für:</w:t>
            </w:r>
          </w:p>
        </w:tc>
        <w:tc>
          <w:tcPr>
            <w:tcW w:w="0" w:type="auto"/>
            <w:vAlign w:val="center"/>
            <w:hideMark/>
          </w:tcPr>
          <w:p w:rsidR="00747E5C" w:rsidRPr="00747E5C" w:rsidRDefault="00747E5C" w:rsidP="00747E5C">
            <w:pPr>
              <w:spacing w:after="0" w:line="240" w:lineRule="auto"/>
              <w:jc w:val="center"/>
              <w:rPr>
                <w:rFonts w:ascii="Times New Roman" w:eastAsia="Times New Roman" w:hAnsi="Times New Roman" w:cs="Times New Roman"/>
                <w:b/>
                <w:bCs/>
                <w:sz w:val="24"/>
                <w:szCs w:val="24"/>
                <w:lang w:val="de-AT" w:eastAsia="de-AT"/>
              </w:rPr>
            </w:pPr>
            <w:r w:rsidRPr="00747E5C">
              <w:rPr>
                <w:rFonts w:ascii="Times New Roman" w:eastAsia="Times New Roman" w:hAnsi="Times New Roman" w:cs="Times New Roman"/>
                <w:b/>
                <w:bCs/>
                <w:sz w:val="24"/>
                <w:szCs w:val="24"/>
                <w:lang w:val="de-AT" w:eastAsia="de-AT"/>
              </w:rPr>
              <w:t>Beispielsweise enthalten in:</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4" w:history="1">
              <w:r w:rsidRPr="00747E5C">
                <w:rPr>
                  <w:rFonts w:ascii="Times New Roman" w:eastAsia="Times New Roman" w:hAnsi="Times New Roman" w:cs="Times New Roman"/>
                  <w:color w:val="0000FF"/>
                  <w:sz w:val="24"/>
                  <w:szCs w:val="24"/>
                  <w:u w:val="single"/>
                  <w:lang w:val="de-AT" w:eastAsia="de-AT"/>
                </w:rPr>
                <w:t>Magnesium</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Aktivierung von mehr als 300 energieabhängigen Enzymen, Kohlenhydrat-, Fett- und Eiweißstoffwechsel</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Vollkorn, Bananen, Nüsse</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5" w:history="1">
              <w:r w:rsidRPr="00747E5C">
                <w:rPr>
                  <w:rFonts w:ascii="Times New Roman" w:eastAsia="Times New Roman" w:hAnsi="Times New Roman" w:cs="Times New Roman"/>
                  <w:color w:val="0000FF"/>
                  <w:sz w:val="24"/>
                  <w:szCs w:val="24"/>
                  <w:u w:val="single"/>
                  <w:lang w:val="de-AT" w:eastAsia="de-AT"/>
                </w:rPr>
                <w:t>Kalzium</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Knochen- und Zahnaufbau. Herz-, Nerven- und Muskelfunktion, Blutgerinnung</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Milchprodukte, Grünkohl</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6" w:history="1">
              <w:r w:rsidRPr="00747E5C">
                <w:rPr>
                  <w:rFonts w:ascii="Times New Roman" w:eastAsia="Times New Roman" w:hAnsi="Times New Roman" w:cs="Times New Roman"/>
                  <w:color w:val="0000FF"/>
                  <w:sz w:val="24"/>
                  <w:szCs w:val="24"/>
                  <w:u w:val="single"/>
                  <w:lang w:val="de-AT" w:eastAsia="de-AT"/>
                </w:rPr>
                <w:t>Kalium</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Erregung von Nerven und Muskeln, Säure-Basen-Haushalt</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Bananen, Kartoffeln</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7" w:history="1">
              <w:r w:rsidRPr="00747E5C">
                <w:rPr>
                  <w:rFonts w:ascii="Times New Roman" w:eastAsia="Times New Roman" w:hAnsi="Times New Roman" w:cs="Times New Roman"/>
                  <w:color w:val="0000FF"/>
                  <w:sz w:val="24"/>
                  <w:szCs w:val="24"/>
                  <w:u w:val="single"/>
                  <w:lang w:val="de-AT" w:eastAsia="de-AT"/>
                </w:rPr>
                <w:t>Natrium</w:t>
              </w:r>
            </w:hyperlink>
            <w:r w:rsidRPr="00747E5C">
              <w:rPr>
                <w:rFonts w:ascii="Times New Roman" w:eastAsia="Times New Roman" w:hAnsi="Times New Roman" w:cs="Times New Roman"/>
                <w:sz w:val="24"/>
                <w:szCs w:val="24"/>
                <w:lang w:val="de-AT" w:eastAsia="de-AT"/>
              </w:rPr>
              <w:t>, Chlorid</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Säure-Basen-Haushalt, Wasserhaushalt</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Kochsalz</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Phosphor</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Knochen- und Zahnaufbau</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Käse, Wurst</w:t>
            </w:r>
          </w:p>
        </w:tc>
      </w:tr>
    </w:tbl>
    <w:p w:rsidR="00747E5C" w:rsidRPr="00747E5C" w:rsidRDefault="00747E5C" w:rsidP="00747E5C">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747E5C">
        <w:rPr>
          <w:rFonts w:ascii="Times New Roman" w:eastAsia="Times New Roman" w:hAnsi="Times New Roman" w:cs="Times New Roman"/>
          <w:b/>
          <w:bCs/>
          <w:sz w:val="36"/>
          <w:szCs w:val="36"/>
          <w:lang w:val="de-AT" w:eastAsia="de-AT"/>
        </w:rPr>
        <w:t>Spurenelemente und ihre Funktionen</w:t>
      </w:r>
    </w:p>
    <w:tbl>
      <w:tblPr>
        <w:tblW w:w="4750" w:type="pct"/>
        <w:tblCellSpacing w:w="15" w:type="dxa"/>
        <w:tblCellMar>
          <w:top w:w="15" w:type="dxa"/>
          <w:left w:w="15" w:type="dxa"/>
          <w:bottom w:w="15" w:type="dxa"/>
          <w:right w:w="15" w:type="dxa"/>
        </w:tblCellMar>
        <w:tblLook w:val="04A0"/>
      </w:tblPr>
      <w:tblGrid>
        <w:gridCol w:w="1622"/>
        <w:gridCol w:w="5147"/>
        <w:gridCol w:w="1935"/>
      </w:tblGrid>
      <w:tr w:rsidR="00747E5C" w:rsidRPr="00747E5C" w:rsidTr="00747E5C">
        <w:trPr>
          <w:tblCellSpacing w:w="15" w:type="dxa"/>
        </w:trPr>
        <w:tc>
          <w:tcPr>
            <w:tcW w:w="0" w:type="auto"/>
            <w:vAlign w:val="center"/>
            <w:hideMark/>
          </w:tcPr>
          <w:p w:rsidR="00747E5C" w:rsidRPr="00747E5C" w:rsidRDefault="00747E5C" w:rsidP="00747E5C">
            <w:pPr>
              <w:spacing w:after="0" w:line="240" w:lineRule="auto"/>
              <w:jc w:val="center"/>
              <w:rPr>
                <w:rFonts w:ascii="Times New Roman" w:eastAsia="Times New Roman" w:hAnsi="Times New Roman" w:cs="Times New Roman"/>
                <w:b/>
                <w:bCs/>
                <w:sz w:val="24"/>
                <w:szCs w:val="24"/>
                <w:lang w:val="de-AT" w:eastAsia="de-AT"/>
              </w:rPr>
            </w:pPr>
            <w:r w:rsidRPr="00747E5C">
              <w:rPr>
                <w:rFonts w:ascii="Times New Roman" w:eastAsia="Times New Roman" w:hAnsi="Times New Roman" w:cs="Times New Roman"/>
                <w:b/>
                <w:bCs/>
                <w:sz w:val="24"/>
                <w:szCs w:val="24"/>
                <w:lang w:val="de-AT" w:eastAsia="de-AT"/>
              </w:rPr>
              <w:t>Spurenelement</w:t>
            </w:r>
          </w:p>
        </w:tc>
        <w:tc>
          <w:tcPr>
            <w:tcW w:w="0" w:type="auto"/>
            <w:vAlign w:val="center"/>
            <w:hideMark/>
          </w:tcPr>
          <w:p w:rsidR="00747E5C" w:rsidRPr="00747E5C" w:rsidRDefault="00747E5C" w:rsidP="00747E5C">
            <w:pPr>
              <w:spacing w:after="0" w:line="240" w:lineRule="auto"/>
              <w:jc w:val="center"/>
              <w:rPr>
                <w:rFonts w:ascii="Times New Roman" w:eastAsia="Times New Roman" w:hAnsi="Times New Roman" w:cs="Times New Roman"/>
                <w:b/>
                <w:bCs/>
                <w:sz w:val="24"/>
                <w:szCs w:val="24"/>
                <w:lang w:val="de-AT" w:eastAsia="de-AT"/>
              </w:rPr>
            </w:pPr>
            <w:r w:rsidRPr="00747E5C">
              <w:rPr>
                <w:rFonts w:ascii="Times New Roman" w:eastAsia="Times New Roman" w:hAnsi="Times New Roman" w:cs="Times New Roman"/>
                <w:b/>
                <w:bCs/>
                <w:sz w:val="24"/>
                <w:szCs w:val="24"/>
                <w:lang w:val="de-AT" w:eastAsia="de-AT"/>
              </w:rPr>
              <w:t>Zum Beispiel wichtig für:</w:t>
            </w:r>
          </w:p>
        </w:tc>
        <w:tc>
          <w:tcPr>
            <w:tcW w:w="0" w:type="auto"/>
            <w:vAlign w:val="center"/>
            <w:hideMark/>
          </w:tcPr>
          <w:p w:rsidR="00747E5C" w:rsidRPr="00747E5C" w:rsidRDefault="00747E5C" w:rsidP="00747E5C">
            <w:pPr>
              <w:spacing w:after="0" w:line="240" w:lineRule="auto"/>
              <w:jc w:val="center"/>
              <w:rPr>
                <w:rFonts w:ascii="Times New Roman" w:eastAsia="Times New Roman" w:hAnsi="Times New Roman" w:cs="Times New Roman"/>
                <w:b/>
                <w:bCs/>
                <w:sz w:val="24"/>
                <w:szCs w:val="24"/>
                <w:lang w:val="de-AT" w:eastAsia="de-AT"/>
              </w:rPr>
            </w:pPr>
            <w:r w:rsidRPr="00747E5C">
              <w:rPr>
                <w:rFonts w:ascii="Times New Roman" w:eastAsia="Times New Roman" w:hAnsi="Times New Roman" w:cs="Times New Roman"/>
                <w:b/>
                <w:bCs/>
                <w:sz w:val="24"/>
                <w:szCs w:val="24"/>
                <w:lang w:val="de-AT" w:eastAsia="de-AT"/>
              </w:rPr>
              <w:t>Beispielsweise enthalten in:</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8" w:history="1">
              <w:r w:rsidRPr="00747E5C">
                <w:rPr>
                  <w:rFonts w:ascii="Times New Roman" w:eastAsia="Times New Roman" w:hAnsi="Times New Roman" w:cs="Times New Roman"/>
                  <w:color w:val="0000FF"/>
                  <w:sz w:val="24"/>
                  <w:szCs w:val="24"/>
                  <w:u w:val="single"/>
                  <w:lang w:val="de-AT" w:eastAsia="de-AT"/>
                </w:rPr>
                <w:t>Selen</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Schutz der Erbsubstanz, Immunabwehr, Schilddrüsenfunktionen</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Seefisch, Vollkorn</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9" w:history="1">
              <w:r w:rsidRPr="00747E5C">
                <w:rPr>
                  <w:rFonts w:ascii="Times New Roman" w:eastAsia="Times New Roman" w:hAnsi="Times New Roman" w:cs="Times New Roman"/>
                  <w:color w:val="0000FF"/>
                  <w:sz w:val="24"/>
                  <w:szCs w:val="24"/>
                  <w:u w:val="single"/>
                  <w:lang w:val="de-AT" w:eastAsia="de-AT"/>
                </w:rPr>
                <w:t>Zink</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Kohlenhydrat-, Eiweiß- und Fettstoffwechsel, Immunabwehr, Wundheilung, Haarwachstum, Insulinspeicherung</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Austern, Innereien</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10" w:history="1">
              <w:r w:rsidRPr="00747E5C">
                <w:rPr>
                  <w:rFonts w:ascii="Times New Roman" w:eastAsia="Times New Roman" w:hAnsi="Times New Roman" w:cs="Times New Roman"/>
                  <w:color w:val="0000FF"/>
                  <w:sz w:val="24"/>
                  <w:szCs w:val="24"/>
                  <w:u w:val="single"/>
                  <w:lang w:val="de-AT" w:eastAsia="de-AT"/>
                </w:rPr>
                <w:t>Jod</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Bildung der Schilddrüsenhormone, Wachstum, Energiehaushalt</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 xml:space="preserve">Seefisch, </w:t>
            </w:r>
            <w:proofErr w:type="spellStart"/>
            <w:r w:rsidRPr="00747E5C">
              <w:rPr>
                <w:rFonts w:ascii="Times New Roman" w:eastAsia="Times New Roman" w:hAnsi="Times New Roman" w:cs="Times New Roman"/>
                <w:sz w:val="24"/>
                <w:szCs w:val="24"/>
                <w:lang w:val="de-AT" w:eastAsia="de-AT"/>
              </w:rPr>
              <w:t>Jodsalz</w:t>
            </w:r>
            <w:proofErr w:type="spellEnd"/>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11" w:history="1">
              <w:r w:rsidRPr="00747E5C">
                <w:rPr>
                  <w:rFonts w:ascii="Times New Roman" w:eastAsia="Times New Roman" w:hAnsi="Times New Roman" w:cs="Times New Roman"/>
                  <w:color w:val="0000FF"/>
                  <w:sz w:val="24"/>
                  <w:szCs w:val="24"/>
                  <w:u w:val="single"/>
                  <w:lang w:val="de-AT" w:eastAsia="de-AT"/>
                </w:rPr>
                <w:t>Eisen</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Blutbildung, Sauerstoffversorgung der Organe</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Fleisch, Pfifferlinge</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12" w:history="1">
              <w:r w:rsidRPr="00747E5C">
                <w:rPr>
                  <w:rFonts w:ascii="Times New Roman" w:eastAsia="Times New Roman" w:hAnsi="Times New Roman" w:cs="Times New Roman"/>
                  <w:color w:val="0000FF"/>
                  <w:sz w:val="24"/>
                  <w:szCs w:val="24"/>
                  <w:u w:val="single"/>
                  <w:lang w:val="de-AT" w:eastAsia="de-AT"/>
                </w:rPr>
                <w:t>Kupfer</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Blutbildung, Eisentransport</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Nüsse</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13" w:history="1">
              <w:r w:rsidRPr="00747E5C">
                <w:rPr>
                  <w:rFonts w:ascii="Times New Roman" w:eastAsia="Times New Roman" w:hAnsi="Times New Roman" w:cs="Times New Roman"/>
                  <w:color w:val="0000FF"/>
                  <w:sz w:val="24"/>
                  <w:szCs w:val="24"/>
                  <w:u w:val="single"/>
                  <w:lang w:val="de-AT" w:eastAsia="de-AT"/>
                </w:rPr>
                <w:t>Mangan</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Knochen- und Knorpelwachstum, Kohlenhydratstoffwechsel</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Innereien, Getreide</w:t>
            </w:r>
          </w:p>
        </w:tc>
      </w:tr>
      <w:tr w:rsidR="00747E5C" w:rsidRPr="00747E5C" w:rsidTr="00747E5C">
        <w:trPr>
          <w:tblCellSpacing w:w="15" w:type="dxa"/>
        </w:trPr>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hyperlink r:id="rId14" w:history="1">
              <w:r w:rsidRPr="00747E5C">
                <w:rPr>
                  <w:rFonts w:ascii="Times New Roman" w:eastAsia="Times New Roman" w:hAnsi="Times New Roman" w:cs="Times New Roman"/>
                  <w:color w:val="0000FF"/>
                  <w:sz w:val="24"/>
                  <w:szCs w:val="24"/>
                  <w:u w:val="single"/>
                  <w:lang w:val="de-AT" w:eastAsia="de-AT"/>
                </w:rPr>
                <w:t>Chrom</w:t>
              </w:r>
            </w:hyperlink>
            <w:r w:rsidRPr="00747E5C">
              <w:rPr>
                <w:rFonts w:ascii="Times New Roman" w:eastAsia="Times New Roman" w:hAnsi="Times New Roman" w:cs="Times New Roman"/>
                <w:sz w:val="24"/>
                <w:szCs w:val="24"/>
                <w:lang w:val="de-AT" w:eastAsia="de-AT"/>
              </w:rPr>
              <w:t xml:space="preserve"> </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Glukose- und Insulinstoffwechsel, Fettstoffwechsel</w:t>
            </w:r>
          </w:p>
        </w:tc>
        <w:tc>
          <w:tcPr>
            <w:tcW w:w="0" w:type="auto"/>
            <w:vAlign w:val="center"/>
            <w:hideMark/>
          </w:tcPr>
          <w:p w:rsidR="00747E5C" w:rsidRPr="00747E5C" w:rsidRDefault="00747E5C" w:rsidP="00747E5C">
            <w:pPr>
              <w:spacing w:after="0" w:line="240" w:lineRule="auto"/>
              <w:rPr>
                <w:rFonts w:ascii="Times New Roman" w:eastAsia="Times New Roman" w:hAnsi="Times New Roman" w:cs="Times New Roman"/>
                <w:sz w:val="24"/>
                <w:szCs w:val="24"/>
                <w:lang w:val="de-AT" w:eastAsia="de-AT"/>
              </w:rPr>
            </w:pPr>
            <w:r w:rsidRPr="00747E5C">
              <w:rPr>
                <w:rFonts w:ascii="Times New Roman" w:eastAsia="Times New Roman" w:hAnsi="Times New Roman" w:cs="Times New Roman"/>
                <w:sz w:val="24"/>
                <w:szCs w:val="24"/>
                <w:lang w:val="de-AT" w:eastAsia="de-AT"/>
              </w:rPr>
              <w:t>Fleisch, Bierhefe, Käse</w:t>
            </w:r>
          </w:p>
        </w:tc>
      </w:tr>
    </w:tbl>
    <w:p w:rsidR="009465FB" w:rsidRDefault="009465FB" w:rsidP="00747E5C"/>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7E5C"/>
    <w:rsid w:val="001F48FE"/>
    <w:rsid w:val="00747E5C"/>
    <w:rsid w:val="009465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1">
    <w:name w:val="heading 1"/>
    <w:basedOn w:val="Standard"/>
    <w:link w:val="berschrift1Zchn"/>
    <w:uiPriority w:val="9"/>
    <w:qFormat/>
    <w:rsid w:val="00747E5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747E5C"/>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7E5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47E5C"/>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747E5C"/>
    <w:rPr>
      <w:color w:val="0000FF"/>
      <w:u w:val="single"/>
    </w:rPr>
  </w:style>
  <w:style w:type="paragraph" w:styleId="StandardWeb">
    <w:name w:val="Normal (Web)"/>
    <w:basedOn w:val="Standard"/>
    <w:uiPriority w:val="99"/>
    <w:semiHidden/>
    <w:unhideWhenUsed/>
    <w:rsid w:val="00747E5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747E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E5C"/>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831871507">
      <w:bodyDiv w:val="1"/>
      <w:marLeft w:val="0"/>
      <w:marRight w:val="0"/>
      <w:marTop w:val="0"/>
      <w:marBottom w:val="0"/>
      <w:divBdr>
        <w:top w:val="none" w:sz="0" w:space="0" w:color="auto"/>
        <w:left w:val="none" w:sz="0" w:space="0" w:color="auto"/>
        <w:bottom w:val="none" w:sz="0" w:space="0" w:color="auto"/>
        <w:right w:val="none" w:sz="0" w:space="0" w:color="auto"/>
      </w:divBdr>
      <w:divsChild>
        <w:div w:id="1976177251">
          <w:marLeft w:val="0"/>
          <w:marRight w:val="0"/>
          <w:marTop w:val="0"/>
          <w:marBottom w:val="0"/>
          <w:divBdr>
            <w:top w:val="none" w:sz="0" w:space="0" w:color="auto"/>
            <w:left w:val="none" w:sz="0" w:space="0" w:color="auto"/>
            <w:bottom w:val="none" w:sz="0" w:space="0" w:color="auto"/>
            <w:right w:val="none" w:sz="0" w:space="0" w:color="auto"/>
          </w:divBdr>
        </w:div>
        <w:div w:id="631135738">
          <w:marLeft w:val="0"/>
          <w:marRight w:val="0"/>
          <w:marTop w:val="0"/>
          <w:marBottom w:val="0"/>
          <w:divBdr>
            <w:top w:val="none" w:sz="0" w:space="0" w:color="auto"/>
            <w:left w:val="none" w:sz="0" w:space="0" w:color="auto"/>
            <w:bottom w:val="none" w:sz="0" w:space="0" w:color="auto"/>
            <w:right w:val="none" w:sz="0" w:space="0" w:color="auto"/>
          </w:divBdr>
          <w:divsChild>
            <w:div w:id="1795244991">
              <w:marLeft w:val="0"/>
              <w:marRight w:val="0"/>
              <w:marTop w:val="0"/>
              <w:marBottom w:val="0"/>
              <w:divBdr>
                <w:top w:val="none" w:sz="0" w:space="0" w:color="auto"/>
                <w:left w:val="none" w:sz="0" w:space="0" w:color="auto"/>
                <w:bottom w:val="none" w:sz="0" w:space="0" w:color="auto"/>
                <w:right w:val="none" w:sz="0" w:space="0" w:color="auto"/>
              </w:divBdr>
              <w:divsChild>
                <w:div w:id="17435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medic.de/selen.html" TargetMode="External"/><Relationship Id="rId13" Type="http://schemas.openxmlformats.org/officeDocument/2006/relationships/hyperlink" Target="http://www.qualimedic.de/mangan.html" TargetMode="External"/><Relationship Id="rId3" Type="http://schemas.openxmlformats.org/officeDocument/2006/relationships/webSettings" Target="webSettings.xml"/><Relationship Id="rId7" Type="http://schemas.openxmlformats.org/officeDocument/2006/relationships/hyperlink" Target="http://www.qualimedic.de/natrium.html" TargetMode="External"/><Relationship Id="rId12" Type="http://schemas.openxmlformats.org/officeDocument/2006/relationships/hyperlink" Target="http://www.qualimedic.de/kupfe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ualimedic.de/kalium.html" TargetMode="External"/><Relationship Id="rId11" Type="http://schemas.openxmlformats.org/officeDocument/2006/relationships/hyperlink" Target="http://www.qualimedic.de/eisen.html" TargetMode="External"/><Relationship Id="rId5" Type="http://schemas.openxmlformats.org/officeDocument/2006/relationships/hyperlink" Target="http://www.qualimedic.de/kalzium.html" TargetMode="External"/><Relationship Id="rId15" Type="http://schemas.openxmlformats.org/officeDocument/2006/relationships/fontTable" Target="fontTable.xml"/><Relationship Id="rId10" Type="http://schemas.openxmlformats.org/officeDocument/2006/relationships/hyperlink" Target="http://www.qualimedic.de/jod.html" TargetMode="External"/><Relationship Id="rId4" Type="http://schemas.openxmlformats.org/officeDocument/2006/relationships/hyperlink" Target="http://www.qualimedic.de/magnesium.html" TargetMode="External"/><Relationship Id="rId9" Type="http://schemas.openxmlformats.org/officeDocument/2006/relationships/hyperlink" Target="http://www.qualimedic.de/zink.html" TargetMode="External"/><Relationship Id="rId14" Type="http://schemas.openxmlformats.org/officeDocument/2006/relationships/hyperlink" Target="http://www.qualimedic.de/chrom.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1963</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2010-11-16T20:07:00Z</dcterms:created>
  <dcterms:modified xsi:type="dcterms:W3CDTF">2010-11-16T20:12:00Z</dcterms:modified>
</cp:coreProperties>
</file>